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12775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127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48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1A951494">
      <w:pPr>
        <w:pStyle w:val="904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3C765300">
      <w:pPr>
        <w:pStyle w:val="904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315CCD2F">
      <w:pPr>
        <w:pStyle w:val="904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2026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18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Bdr/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val="uk-UA"/>
        </w:rPr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</w:r>
    </w:p>
    <w:p>
      <w:pPr>
        <w:pBdr/>
        <w:spacing w:after="0" w:afterAutospacing="0" w:line="240" w:lineRule="auto"/>
        <w:ind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val="uk-UA"/>
        </w:rPr>
        <w:t xml:space="preserve">Про роботу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uk-UA"/>
        </w:rPr>
        <w:t xml:space="preserve">громадської комісії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Cs/>
          <w:color w:val="000000"/>
          <w:sz w:val="28"/>
          <w:szCs w:val="28"/>
        </w:rPr>
      </w:r>
    </w:p>
    <w:p>
      <w:pPr>
        <w:pBdr/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uk-UA"/>
        </w:rPr>
        <w:t xml:space="preserve">з розгляду житлових питань 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val="uk-UA"/>
        </w:rPr>
        <w:t xml:space="preserve">у 2025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val="uk-UA"/>
        </w:rPr>
        <w:t xml:space="preserve"> році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Відповідно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до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статті 30 Закону України «Про місцеве самоврядування в </w:t>
      </w:r>
      <w:r>
        <w:rPr>
          <w:rFonts w:ascii="Times New Roman" w:hAnsi="Times New Roman"/>
          <w:sz w:val="28"/>
          <w:szCs w:val="28"/>
          <w:lang w:val="uk-UA"/>
        </w:rPr>
        <w:t xml:space="preserve">Україні»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Житлового Кодексу Української РСР, з метою вдосконалення громадського контролю за забезпеченням громадян жилими приміщеннями,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 м</w:t>
      </w:r>
      <w:r>
        <w:rPr>
          <w:rFonts w:ascii="Times New Roman" w:hAnsi="Times New Roman"/>
          <w:sz w:val="28"/>
          <w:szCs w:val="28"/>
          <w:lang w:val="uk-UA"/>
        </w:rPr>
        <w:t xml:space="preserve">іської ради   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pBdr/>
        <w:tabs>
          <w:tab w:val="left" w:leader="none" w:pos="567"/>
        </w:tabs>
        <w:spacing w:after="0" w:line="240" w:lineRule="auto"/>
        <w:ind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В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Р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І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Ш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В: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</w:p>
    <w:p>
      <w:pPr>
        <w:pBdr/>
        <w:tabs>
          <w:tab w:val="left" w:leader="none" w:pos="567"/>
        </w:tabs>
        <w:spacing w:after="0" w:line="240" w:lineRule="auto"/>
        <w:ind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</w:p>
    <w:p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1. Інформацію про роботу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uk-UA"/>
        </w:rPr>
        <w:t xml:space="preserve">громадськ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uk-UA"/>
        </w:rPr>
        <w:t xml:space="preserve">ої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uk-UA"/>
        </w:rPr>
        <w:t xml:space="preserve">ї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uk-UA"/>
        </w:rPr>
        <w:t xml:space="preserve"> з розгляду житлових питань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 202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році взяти до відома (додається).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C2D1A21">
      <w:pPr>
        <w:pStyle w:val="91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2.  Контроль за виконанням даного рішення 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CDA6F38">
      <w:pPr>
        <w:pStyle w:val="904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CC70458">
      <w:pPr>
        <w:pStyle w:val="904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EBD659D">
      <w:pPr>
        <w:pStyle w:val="904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862B454">
      <w:pPr>
        <w:pStyle w:val="904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AC10F58">
      <w:pPr>
        <w:pStyle w:val="904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8A24E14">
      <w:pPr>
        <w:pStyle w:val="91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val="uk-UA"/>
        </w:rPr>
      </w:r>
      <w:r>
        <w:rPr>
          <w:rFonts w:ascii="Times New Roman" w:hAnsi="Times New Roman" w:eastAsia="Times New Roman" w:cs="Times New Roman"/>
          <w:lang w:val="uk-UA"/>
        </w:rPr>
      </w:r>
      <w:r>
        <w:rPr>
          <w:rFonts w:ascii="Times New Roman" w:hAnsi="Times New Roman" w:cs="Times New Roman"/>
        </w:rPr>
      </w:r>
    </w:p>
    <w:p w14:paraId="4A0B6AA9">
      <w:pPr>
        <w:pStyle w:val="919"/>
        <w:pBdr/>
        <w:spacing w:after="0" w:afterAutospacing="0" w:before="0" w:before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236AA8E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val="uk-UA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 w:right="-365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F3C33DE"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0"/>
        </w:rPr>
      </w:r>
      <w:r>
        <w:rPr>
          <w:rFonts w:ascii="Times New Roman" w:hAnsi="Times New Roman" w:cs="Times New Roman"/>
          <w:sz w:val="24"/>
          <w:szCs w:val="20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0"/>
          <w:lang w:val="uk-UA" w:eastAsia="ru-RU"/>
        </w:rPr>
      </w:r>
      <w:r>
        <w:rPr>
          <w:rFonts w:ascii="Times New Roman" w:hAnsi="Times New Roman" w:cs="Times New Roman"/>
          <w:sz w:val="24"/>
          <w:szCs w:val="20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eastAsia="Times New Roman" w:cs="Times New Roman"/>
          <w:sz w:val="24"/>
          <w:szCs w:val="20"/>
          <w:lang w:val="uk-UA" w:eastAsia="ru-RU"/>
        </w:rPr>
      </w:r>
      <w:r>
        <w:rPr>
          <w:rFonts w:ascii="Times New Roman" w:hAnsi="Times New Roman" w:cs="Times New Roman"/>
          <w:sz w:val="24"/>
          <w:szCs w:val="20"/>
        </w:rPr>
      </w:r>
      <w:r>
        <w:rPr>
          <w:rFonts w:ascii="Times New Roman" w:hAnsi="Times New Roman" w:cs="Times New Roman"/>
          <w:sz w:val="24"/>
          <w:szCs w:val="20"/>
        </w:rPr>
      </w:r>
    </w:p>
    <w:p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eastAsia="Times New Roman" w:cs="Times New Roman"/>
          <w:sz w:val="24"/>
          <w:szCs w:val="20"/>
          <w:lang w:val="uk-UA" w:eastAsia="ru-RU"/>
        </w:rPr>
      </w:r>
      <w:r>
        <w:rPr>
          <w:rFonts w:ascii="Times New Roman" w:hAnsi="Times New Roman" w:cs="Times New Roman"/>
          <w:sz w:val="24"/>
          <w:szCs w:val="20"/>
        </w:rPr>
      </w:r>
      <w:r>
        <w:rPr>
          <w:rFonts w:ascii="Times New Roman" w:hAnsi="Times New Roman" w:cs="Times New Roman"/>
          <w:sz w:val="24"/>
          <w:szCs w:val="20"/>
        </w:rPr>
      </w:r>
    </w:p>
    <w:p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eastAsia="Times New Roman" w:cs="Times New Roman"/>
          <w:sz w:val="24"/>
          <w:szCs w:val="20"/>
          <w:lang w:val="uk-UA" w:eastAsia="ru-RU"/>
        </w:rPr>
      </w:r>
      <w:r>
        <w:rPr>
          <w:rFonts w:ascii="Times New Roman" w:hAnsi="Times New Roman" w:cs="Times New Roman"/>
          <w:sz w:val="24"/>
          <w:szCs w:val="20"/>
        </w:rPr>
      </w:r>
      <w:r>
        <w:rPr>
          <w:rFonts w:ascii="Times New Roman" w:hAnsi="Times New Roman" w:cs="Times New Roman"/>
          <w:sz w:val="24"/>
          <w:szCs w:val="20"/>
        </w:rPr>
      </w:r>
    </w:p>
    <w:p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eastAsia="Times New Roman" w:cs="Times New Roman"/>
          <w:sz w:val="24"/>
          <w:szCs w:val="20"/>
          <w:lang w:val="uk-UA" w:eastAsia="ru-RU"/>
        </w:rPr>
      </w:r>
      <w:r>
        <w:rPr>
          <w:rFonts w:ascii="Times New Roman" w:hAnsi="Times New Roman" w:cs="Times New Roman"/>
          <w:sz w:val="24"/>
          <w:szCs w:val="20"/>
        </w:rPr>
      </w:r>
      <w:r>
        <w:rPr>
          <w:rFonts w:ascii="Times New Roman" w:hAnsi="Times New Roman" w:cs="Times New Roman"/>
          <w:sz w:val="24"/>
          <w:szCs w:val="20"/>
        </w:rPr>
      </w:r>
    </w:p>
    <w:p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eastAsia="Times New Roman" w:cs="Times New Roman"/>
          <w:sz w:val="24"/>
          <w:szCs w:val="20"/>
          <w:lang w:val="uk-UA" w:eastAsia="ru-RU"/>
        </w:rPr>
      </w:r>
      <w:r>
        <w:rPr>
          <w:rFonts w:ascii="Times New Roman" w:hAnsi="Times New Roman" w:cs="Times New Roman"/>
          <w:sz w:val="24"/>
          <w:szCs w:val="20"/>
        </w:rPr>
      </w:r>
      <w:r>
        <w:rPr>
          <w:rFonts w:ascii="Times New Roman" w:hAnsi="Times New Roman" w:cs="Times New Roman"/>
          <w:sz w:val="24"/>
          <w:szCs w:val="20"/>
        </w:rPr>
      </w:r>
    </w:p>
    <w:p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eastAsia="Times New Roman" w:cs="Times New Roman"/>
          <w:sz w:val="24"/>
          <w:szCs w:val="20"/>
          <w:lang w:val="uk-UA" w:eastAsia="ru-RU"/>
        </w:rPr>
      </w:r>
      <w:r>
        <w:rPr>
          <w:rFonts w:ascii="Times New Roman" w:hAnsi="Times New Roman" w:cs="Times New Roman"/>
          <w:sz w:val="24"/>
          <w:szCs w:val="20"/>
        </w:rPr>
      </w:r>
      <w:r>
        <w:rPr>
          <w:rFonts w:ascii="Times New Roman" w:hAnsi="Times New Roman" w:cs="Times New Roman"/>
          <w:sz w:val="24"/>
          <w:szCs w:val="20"/>
        </w:rPr>
      </w:r>
    </w:p>
    <w:p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eastAsia="Times New Roman" w:cs="Times New Roman"/>
          <w:sz w:val="24"/>
          <w:szCs w:val="20"/>
          <w:lang w:val="uk-UA" w:eastAsia="ru-RU"/>
        </w:rPr>
      </w:r>
      <w:r>
        <w:rPr>
          <w:rFonts w:ascii="Times New Roman" w:hAnsi="Times New Roman" w:cs="Times New Roman"/>
          <w:sz w:val="24"/>
          <w:szCs w:val="20"/>
        </w:rPr>
      </w:r>
      <w:r>
        <w:rPr>
          <w:rFonts w:ascii="Times New Roman" w:hAnsi="Times New Roman" w:cs="Times New Roman"/>
          <w:sz w:val="24"/>
          <w:szCs w:val="20"/>
        </w:rPr>
      </w:r>
    </w:p>
    <w:p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eastAsia="Times New Roman" w:cs="Times New Roman"/>
          <w:sz w:val="24"/>
          <w:szCs w:val="20"/>
          <w:lang w:val="uk-UA" w:eastAsia="ru-RU"/>
        </w:rPr>
      </w:r>
      <w:r>
        <w:rPr>
          <w:rFonts w:ascii="Times New Roman" w:hAnsi="Times New Roman" w:cs="Times New Roman"/>
          <w:sz w:val="24"/>
          <w:szCs w:val="20"/>
        </w:rPr>
      </w:r>
      <w:r>
        <w:rPr>
          <w:rFonts w:ascii="Times New Roman" w:hAnsi="Times New Roman" w:cs="Times New Roman"/>
          <w:sz w:val="24"/>
          <w:szCs w:val="20"/>
        </w:rPr>
      </w:r>
    </w:p>
    <w:p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eastAsia="Times New Roman" w:cs="Times New Roman"/>
          <w:sz w:val="24"/>
          <w:szCs w:val="20"/>
          <w:lang w:val="uk-UA" w:eastAsia="ru-RU"/>
        </w:rPr>
      </w:r>
      <w:r>
        <w:rPr>
          <w:rFonts w:ascii="Times New Roman" w:hAnsi="Times New Roman" w:cs="Times New Roman"/>
          <w:sz w:val="24"/>
          <w:szCs w:val="20"/>
        </w:rPr>
      </w:r>
      <w:r>
        <w:rPr>
          <w:rFonts w:ascii="Times New Roman" w:hAnsi="Times New Roman" w:cs="Times New Roman"/>
          <w:sz w:val="24"/>
          <w:szCs w:val="20"/>
        </w:rPr>
      </w:r>
    </w:p>
    <w:p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eastAsia="Times New Roman" w:cs="Times New Roman"/>
          <w:sz w:val="24"/>
          <w:szCs w:val="20"/>
          <w:lang w:val="uk-UA" w:eastAsia="ru-RU"/>
        </w:rPr>
      </w:r>
      <w:r>
        <w:rPr>
          <w:rFonts w:ascii="Times New Roman" w:hAnsi="Times New Roman" w:cs="Times New Roman"/>
          <w:sz w:val="24"/>
          <w:szCs w:val="20"/>
        </w:rPr>
      </w:r>
      <w:r>
        <w:rPr>
          <w:rFonts w:ascii="Times New Roman" w:hAnsi="Times New Roman" w:cs="Times New Roman"/>
          <w:sz w:val="24"/>
          <w:szCs w:val="20"/>
        </w:rPr>
      </w:r>
    </w:p>
    <w:p>
      <w:pPr>
        <w:pBdr/>
        <w:spacing w:after="0" w:line="240" w:lineRule="auto"/>
        <w:ind w:firstLine="50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Bdr/>
        <w:spacing w:after="0" w:line="240" w:lineRule="auto"/>
        <w:ind w:firstLine="50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 рішення виконавчого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Bdr/>
        <w:spacing w:after="0" w:line="240" w:lineRule="auto"/>
        <w:ind w:firstLine="50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комітету </w:t>
      </w:r>
      <w:r>
        <w:rPr>
          <w:rFonts w:ascii="Times New Roman" w:hAnsi="Times New Roman"/>
          <w:sz w:val="24"/>
          <w:szCs w:val="24"/>
          <w:lang w:val="uk-UA"/>
        </w:rPr>
        <w:t xml:space="preserve">Берестинської</w:t>
      </w:r>
      <w:r>
        <w:rPr>
          <w:rFonts w:ascii="Times New Roman" w:hAnsi="Times New Roman"/>
          <w:sz w:val="24"/>
          <w:szCs w:val="24"/>
        </w:rPr>
        <w:t xml:space="preserve"> міської ради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Bdr/>
        <w:spacing w:after="0" w:line="240" w:lineRule="auto"/>
        <w:ind w:firstLine="504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 xml:space="preserve">15</w:t>
      </w:r>
      <w:r>
        <w:rPr>
          <w:rFonts w:ascii="Times New Roman" w:hAnsi="Times New Roman"/>
          <w:sz w:val="24"/>
          <w:szCs w:val="24"/>
          <w:lang w:val="uk-UA"/>
        </w:rPr>
        <w:t xml:space="preserve"> січня </w:t>
      </w:r>
      <w:r>
        <w:rPr>
          <w:rFonts w:ascii="Times New Roman" w:hAnsi="Times New Roman"/>
          <w:sz w:val="24"/>
          <w:szCs w:val="24"/>
        </w:rPr>
        <w:t xml:space="preserve">202</w:t>
      </w:r>
      <w:r>
        <w:rPr>
          <w:rFonts w:ascii="Times New Roman" w:hAnsi="Times New Roman"/>
          <w:sz w:val="24"/>
          <w:szCs w:val="24"/>
          <w:lang w:val="uk-UA"/>
        </w:rPr>
        <w:t xml:space="preserve">6 року </w:t>
      </w:r>
      <w:r>
        <w:rPr>
          <w:rFonts w:ascii="Times New Roman" w:hAnsi="Times New Roman"/>
          <w:sz w:val="24"/>
          <w:szCs w:val="24"/>
        </w:rPr>
        <w:t xml:space="preserve">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18</w:t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Bdr/>
        <w:spacing w:after="0"/>
        <w:ind w:hanging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Інформаці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я</w:t>
      </w: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про роботу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громадської комісії з розгляду житлових питань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у 2025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році</w:t>
      </w: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Style w:val="916"/>
        <w:pBdr/>
        <w:spacing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16"/>
        <w:pBdr/>
        <w:spacing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Громадська комісія з розгляду житлових питань</w:t>
      </w:r>
      <w:r>
        <w:rPr>
          <w:rFonts w:ascii="Times New Roman" w:hAnsi="Times New Roman"/>
          <w:sz w:val="28"/>
          <w:szCs w:val="28"/>
          <w:lang w:val="uk-UA"/>
        </w:rPr>
        <w:t xml:space="preserve"> (далі - комісія) є постійно діючим органом, </w:t>
      </w:r>
      <w:r>
        <w:rPr>
          <w:rFonts w:ascii="Times New Roman" w:hAnsi="Times New Roman"/>
          <w:sz w:val="28"/>
          <w:szCs w:val="28"/>
          <w:lang w:val="uk-UA"/>
        </w:rPr>
        <w:t xml:space="preserve">який утворений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виконавчим комітетом міської ради</w:t>
      </w:r>
      <w:bookmarkStart w:id="0" w:name="n742"/>
      <w:r/>
      <w:bookmarkStart w:id="1" w:name="n743"/>
      <w:r/>
      <w:bookmarkEnd w:id="0"/>
      <w:r/>
      <w:bookmarkEnd w:id="1"/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Комісія у своїй діяльності керується Конституцією України, Житловим кодексом України, «Правилами обліку громадян, які потребують поліпшення житлових умов, і надання їм жилих приміщень в УРСР», іншими законодавчими актами, що стосуються житлових питань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/>
          <w:sz w:val="28"/>
          <w:szCs w:val="28"/>
        </w:rPr>
        <w:t xml:space="preserve">Положення</w:t>
      </w: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</w:rPr>
        <w:t xml:space="preserve"> про громадську комісію з розгляду житлових питань при виконавчому комітеті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міської ради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.</w:t>
      </w: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Основними завданнями комісії є забезпечення громадського контролю за дотриманням законодавства з питань взяття громадян на квартирний облік та зняття з такого обліку, розподілу приміщень тощо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Style w:val="916"/>
        <w:pBdr/>
        <w:spacing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Протягом 2025</w:t>
      </w:r>
      <w:r>
        <w:rPr>
          <w:rFonts w:ascii="Times New Roman" w:hAnsi="Times New Roman"/>
          <w:sz w:val="28"/>
          <w:szCs w:val="28"/>
          <w:lang w:val="uk-UA"/>
        </w:rPr>
        <w:t xml:space="preserve"> року </w:t>
      </w:r>
      <w:r>
        <w:rPr>
          <w:rFonts w:ascii="Times New Roman" w:hAnsi="Times New Roman"/>
          <w:sz w:val="28"/>
          <w:szCs w:val="28"/>
          <w:lang w:val="uk-UA"/>
        </w:rPr>
        <w:t xml:space="preserve">проведено 15 засідань комісії, розглянуто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52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питання, зокрема: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16"/>
        <w:pBdr/>
        <w:spacing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 взяття на квартирний облік громадян;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16"/>
        <w:pBdr/>
        <w:spacing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 зняття з квартирного обліку громадян;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16"/>
        <w:pBdr/>
        <w:spacing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п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ро впорядкування 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позачергової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черги та затвердження списку осіб, які потребують поліпшення житлових умов та перебувають на квартирному обліку</w:t>
      </w:r>
      <w:r>
        <w:rPr>
          <w:rFonts w:ascii="Times New Roman" w:hAnsi="Times New Roman"/>
          <w:sz w:val="28"/>
          <w:szCs w:val="28"/>
          <w:lang w:val="uk-UA"/>
        </w:rPr>
        <w:t xml:space="preserve">;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16"/>
        <w:pBdr/>
        <w:spacing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п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ро впорядкування 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п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ершочергової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черги та затвердження списку осіб, які потребують поліпшення житлових умов та перебувають на квартирному обліку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  <w:lang w:eastAsia="ru-RU"/>
        </w:rPr>
        <w:t xml:space="preserve"> </w:t>
      </w:r>
      <w:r>
        <w:rPr>
          <w:rFonts w:ascii="Times New Roman" w:hAnsi="Times New Roman"/>
          <w:color w:val="ff0000"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С</w:t>
      </w:r>
      <w:r>
        <w:rPr>
          <w:rFonts w:ascii="Times New Roman" w:hAnsi="Times New Roman"/>
          <w:sz w:val="28"/>
          <w:szCs w:val="28"/>
        </w:rPr>
        <w:t xml:space="preserve">таном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 </w:t>
      </w:r>
      <w:r>
        <w:rPr>
          <w:rFonts w:ascii="Times New Roman" w:hAnsi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/>
          <w:sz w:val="28"/>
          <w:szCs w:val="28"/>
        </w:rPr>
        <w:t xml:space="preserve">20</w:t>
      </w:r>
      <w:r>
        <w:rPr>
          <w:rFonts w:ascii="Times New Roman" w:hAnsi="Times New Roman"/>
          <w:sz w:val="28"/>
          <w:szCs w:val="28"/>
          <w:lang w:val="uk-UA"/>
        </w:rPr>
        <w:t xml:space="preserve">26</w:t>
      </w:r>
      <w:r>
        <w:rPr>
          <w:rFonts w:ascii="Times New Roman" w:hAnsi="Times New Roman"/>
          <w:sz w:val="28"/>
          <w:szCs w:val="28"/>
        </w:rPr>
        <w:t xml:space="preserve"> року 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квартирному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обліку за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місцем проживання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 виконавчому комітеті міської ради перебуває  всього 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703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сім’ї </w:t>
      </w:r>
      <w:r>
        <w:rPr>
          <w:rFonts w:ascii="Times New Roman" w:hAnsi="Times New Roman"/>
          <w:sz w:val="28"/>
          <w:szCs w:val="28"/>
        </w:rPr>
        <w:t xml:space="preserve"> та одиноких громадян.  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яких, 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376</w:t>
      </w:r>
      <w:r>
        <w:rPr>
          <w:rFonts w:ascii="Times New Roman" w:hAnsi="Times New Roman"/>
          <w:sz w:val="28"/>
          <w:szCs w:val="28"/>
        </w:rPr>
        <w:t xml:space="preserve"> перебуває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квартирному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обліку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загальних підставах, 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163</w:t>
      </w:r>
      <w:r>
        <w:rPr>
          <w:rFonts w:ascii="Times New Roman" w:hAnsi="Times New Roman"/>
          <w:sz w:val="28"/>
          <w:szCs w:val="28"/>
        </w:rPr>
        <w:t xml:space="preserve"> 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 списку осіб, які користуються правом першочергового одержання житла, 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1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64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 списку позачергового одержання житла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9795A8C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46 </w:t>
      </w:r>
      <w:r>
        <w:rPr>
          <w:rFonts w:ascii="Times New Roman" w:hAnsi="Times New Roman"/>
          <w:sz w:val="28"/>
          <w:szCs w:val="28"/>
        </w:rPr>
        <w:t xml:space="preserve">сім</w:t>
      </w:r>
      <w:r>
        <w:rPr>
          <w:rFonts w:ascii="Times New Roman" w:hAnsi="Times New Roman"/>
          <w:sz w:val="28"/>
          <w:szCs w:val="28"/>
          <w:lang w:val="uk-UA"/>
        </w:rPr>
        <w:t xml:space="preserve">ей</w:t>
      </w:r>
      <w:r>
        <w:rPr>
          <w:rFonts w:ascii="Times New Roman" w:hAnsi="Times New Roman"/>
          <w:sz w:val="28"/>
          <w:szCs w:val="28"/>
        </w:rPr>
        <w:t xml:space="preserve"> перебува</w:t>
      </w:r>
      <w:r>
        <w:rPr>
          <w:rFonts w:ascii="Times New Roman" w:hAnsi="Times New Roman"/>
          <w:sz w:val="28"/>
          <w:szCs w:val="28"/>
          <w:lang w:val="uk-UA"/>
        </w:rPr>
        <w:t xml:space="preserve">ють</w:t>
      </w:r>
      <w:r>
        <w:rPr>
          <w:rFonts w:ascii="Times New Roman" w:hAnsi="Times New Roman"/>
          <w:sz w:val="28"/>
          <w:szCs w:val="28"/>
        </w:rPr>
        <w:t xml:space="preserve"> на соціальному квартирному обліку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16"/>
        <w:pBdr/>
        <w:spacing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16"/>
        <w:pBdr/>
        <w:spacing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громадської комісії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 розгляду житлових питань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widowControl w:val="false"/>
        <w:pBdr/>
        <w:spacing w:after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false"/>
        <w:pBdr/>
        <w:spacing w:after="0"/>
        <w:ind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виконавчого комітету міської ради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Катерина ХУДЯКОВА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4"/>
        <w:pBdr/>
        <w:spacing w:after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0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0" w:bottom="28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SimSun">
    <w:panose1 w:val="02010600030101010101"/>
  </w:font>
  <w:font w:name="Liberation Serif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643"/>
        </w:tabs>
        <w:spacing/>
        <w:ind w:hanging="360" w:left="643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0"/>
    <w:lvl w:ilvl="0">
      <w:isLgl w:val="false"/>
      <w:lvlJc w:val="left"/>
      <w:lvlText w:val=""/>
      <w:numFmt w:val="bullet"/>
      <w:pPr>
        <w:pBdr/>
        <w:tabs>
          <w:tab w:val="num" w:leader="none" w:pos="1492"/>
        </w:tabs>
        <w:spacing/>
        <w:ind w:hanging="360" w:left="149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209"/>
        </w:tabs>
        <w:spacing/>
        <w:ind w:hanging="360" w:left="120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926"/>
        </w:tabs>
        <w:spacing/>
        <w:ind w:hanging="360" w:left="92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643"/>
        </w:tabs>
        <w:spacing/>
        <w:ind w:hanging="360" w:left="643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9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1">
    <w:name w:val="Table Grid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Table Grid Light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1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2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1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2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3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4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5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6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1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2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3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4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5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6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1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2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3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4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5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6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7">
    <w:name w:val="Heading 1"/>
    <w:basedOn w:val="904"/>
    <w:next w:val="904"/>
    <w:link w:val="85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8">
    <w:name w:val="Heading 2"/>
    <w:basedOn w:val="904"/>
    <w:next w:val="904"/>
    <w:link w:val="85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9">
    <w:name w:val="Heading 3"/>
    <w:basedOn w:val="904"/>
    <w:next w:val="904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0">
    <w:name w:val="Heading 4"/>
    <w:basedOn w:val="904"/>
    <w:next w:val="904"/>
    <w:link w:val="85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1">
    <w:name w:val="Heading 5"/>
    <w:basedOn w:val="904"/>
    <w:next w:val="904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2">
    <w:name w:val="Heading 6"/>
    <w:basedOn w:val="904"/>
    <w:next w:val="904"/>
    <w:link w:val="86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3">
    <w:name w:val="Heading 7"/>
    <w:basedOn w:val="904"/>
    <w:next w:val="904"/>
    <w:link w:val="86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4">
    <w:name w:val="Heading 8"/>
    <w:basedOn w:val="904"/>
    <w:next w:val="904"/>
    <w:link w:val="86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5">
    <w:name w:val="Heading 9"/>
    <w:basedOn w:val="904"/>
    <w:next w:val="904"/>
    <w:link w:val="86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6">
    <w:name w:val="Heading 1 Char"/>
    <w:basedOn w:val="905"/>
    <w:link w:val="84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7">
    <w:name w:val="Heading 2 Char"/>
    <w:basedOn w:val="905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8">
    <w:name w:val="Heading 3 Char"/>
    <w:basedOn w:val="905"/>
    <w:link w:val="8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9">
    <w:name w:val="Heading 4 Char"/>
    <w:basedOn w:val="905"/>
    <w:link w:val="85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0">
    <w:name w:val="Heading 5 Char"/>
    <w:basedOn w:val="905"/>
    <w:link w:val="8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1">
    <w:name w:val="Heading 6 Char"/>
    <w:basedOn w:val="905"/>
    <w:link w:val="85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2">
    <w:name w:val="Heading 7 Char"/>
    <w:basedOn w:val="905"/>
    <w:link w:val="85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3">
    <w:name w:val="Heading 8 Char"/>
    <w:basedOn w:val="905"/>
    <w:link w:val="85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4">
    <w:name w:val="Heading 9 Char"/>
    <w:basedOn w:val="905"/>
    <w:link w:val="85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Title"/>
    <w:basedOn w:val="904"/>
    <w:next w:val="904"/>
    <w:link w:val="86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6">
    <w:name w:val="Title Char"/>
    <w:basedOn w:val="905"/>
    <w:link w:val="86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7">
    <w:name w:val="Subtitle"/>
    <w:basedOn w:val="904"/>
    <w:next w:val="904"/>
    <w:link w:val="86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8">
    <w:name w:val="Subtitle Char"/>
    <w:basedOn w:val="905"/>
    <w:link w:val="86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9">
    <w:name w:val="Quote"/>
    <w:basedOn w:val="904"/>
    <w:next w:val="904"/>
    <w:link w:val="87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0">
    <w:name w:val="Quote Char"/>
    <w:basedOn w:val="905"/>
    <w:link w:val="86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Intense Emphasis"/>
    <w:basedOn w:val="90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2">
    <w:name w:val="Intense Quote"/>
    <w:basedOn w:val="904"/>
    <w:next w:val="904"/>
    <w:link w:val="87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3">
    <w:name w:val="Intense Quote Char"/>
    <w:basedOn w:val="905"/>
    <w:link w:val="87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4">
    <w:name w:val="Intense Reference"/>
    <w:basedOn w:val="90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75">
    <w:name w:val="Subtle Emphasis"/>
    <w:basedOn w:val="90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6">
    <w:name w:val="Emphasis"/>
    <w:basedOn w:val="905"/>
    <w:uiPriority w:val="20"/>
    <w:qFormat/>
    <w:pPr>
      <w:pBdr/>
      <w:spacing/>
      <w:ind/>
    </w:pPr>
    <w:rPr>
      <w:i/>
      <w:iCs/>
    </w:rPr>
  </w:style>
  <w:style w:type="character" w:styleId="877">
    <w:name w:val="Subtle Reference"/>
    <w:basedOn w:val="90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8">
    <w:name w:val="Book Title"/>
    <w:basedOn w:val="90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9">
    <w:name w:val="Header"/>
    <w:basedOn w:val="904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Header Char"/>
    <w:basedOn w:val="905"/>
    <w:link w:val="879"/>
    <w:uiPriority w:val="99"/>
    <w:pPr>
      <w:pBdr/>
      <w:spacing/>
      <w:ind/>
    </w:pPr>
  </w:style>
  <w:style w:type="paragraph" w:styleId="881">
    <w:name w:val="Footer"/>
    <w:basedOn w:val="904"/>
    <w:link w:val="88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2">
    <w:name w:val="Footer Char"/>
    <w:basedOn w:val="905"/>
    <w:link w:val="881"/>
    <w:uiPriority w:val="99"/>
    <w:pPr>
      <w:pBdr/>
      <w:spacing/>
      <w:ind/>
    </w:pPr>
  </w:style>
  <w:style w:type="paragraph" w:styleId="883">
    <w:name w:val="Caption"/>
    <w:basedOn w:val="904"/>
    <w:next w:val="90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4">
    <w:name w:val="footnote text"/>
    <w:basedOn w:val="904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Footnote Text Char"/>
    <w:basedOn w:val="905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footnote reference"/>
    <w:basedOn w:val="905"/>
    <w:uiPriority w:val="99"/>
    <w:semiHidden/>
    <w:unhideWhenUsed/>
    <w:pPr>
      <w:pBdr/>
      <w:spacing/>
      <w:ind/>
    </w:pPr>
    <w:rPr>
      <w:vertAlign w:val="superscript"/>
    </w:rPr>
  </w:style>
  <w:style w:type="paragraph" w:styleId="887">
    <w:name w:val="endnote text"/>
    <w:basedOn w:val="904"/>
    <w:link w:val="88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8">
    <w:name w:val="Endnote Text Char"/>
    <w:basedOn w:val="905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endnote reference"/>
    <w:basedOn w:val="905"/>
    <w:uiPriority w:val="99"/>
    <w:semiHidden/>
    <w:unhideWhenUsed/>
    <w:pPr>
      <w:pBdr/>
      <w:spacing/>
      <w:ind/>
    </w:pPr>
    <w:rPr>
      <w:vertAlign w:val="superscript"/>
    </w:rPr>
  </w:style>
  <w:style w:type="character" w:styleId="890">
    <w:name w:val="Hyperlink"/>
    <w:basedOn w:val="90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1">
    <w:name w:val="FollowedHyperlink"/>
    <w:basedOn w:val="90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2">
    <w:name w:val="toc 1"/>
    <w:basedOn w:val="904"/>
    <w:next w:val="904"/>
    <w:uiPriority w:val="39"/>
    <w:unhideWhenUsed/>
    <w:pPr>
      <w:pBdr/>
      <w:spacing w:after="100"/>
      <w:ind/>
    </w:pPr>
  </w:style>
  <w:style w:type="paragraph" w:styleId="893">
    <w:name w:val="toc 2"/>
    <w:basedOn w:val="904"/>
    <w:next w:val="904"/>
    <w:uiPriority w:val="39"/>
    <w:unhideWhenUsed/>
    <w:pPr>
      <w:pBdr/>
      <w:spacing w:after="100"/>
      <w:ind w:left="220"/>
    </w:pPr>
  </w:style>
  <w:style w:type="paragraph" w:styleId="894">
    <w:name w:val="toc 3"/>
    <w:basedOn w:val="904"/>
    <w:next w:val="904"/>
    <w:uiPriority w:val="39"/>
    <w:unhideWhenUsed/>
    <w:pPr>
      <w:pBdr/>
      <w:spacing w:after="100"/>
      <w:ind w:left="440"/>
    </w:pPr>
  </w:style>
  <w:style w:type="paragraph" w:styleId="895">
    <w:name w:val="toc 4"/>
    <w:basedOn w:val="904"/>
    <w:next w:val="904"/>
    <w:uiPriority w:val="39"/>
    <w:unhideWhenUsed/>
    <w:pPr>
      <w:pBdr/>
      <w:spacing w:after="100"/>
      <w:ind w:left="660"/>
    </w:pPr>
  </w:style>
  <w:style w:type="paragraph" w:styleId="896">
    <w:name w:val="toc 5"/>
    <w:basedOn w:val="904"/>
    <w:next w:val="904"/>
    <w:uiPriority w:val="39"/>
    <w:unhideWhenUsed/>
    <w:pPr>
      <w:pBdr/>
      <w:spacing w:after="100"/>
      <w:ind w:left="880"/>
    </w:pPr>
  </w:style>
  <w:style w:type="paragraph" w:styleId="897">
    <w:name w:val="toc 6"/>
    <w:basedOn w:val="904"/>
    <w:next w:val="904"/>
    <w:uiPriority w:val="39"/>
    <w:unhideWhenUsed/>
    <w:pPr>
      <w:pBdr/>
      <w:spacing w:after="100"/>
      <w:ind w:left="1100"/>
    </w:pPr>
  </w:style>
  <w:style w:type="paragraph" w:styleId="898">
    <w:name w:val="toc 7"/>
    <w:basedOn w:val="904"/>
    <w:next w:val="904"/>
    <w:uiPriority w:val="39"/>
    <w:unhideWhenUsed/>
    <w:pPr>
      <w:pBdr/>
      <w:spacing w:after="100"/>
      <w:ind w:left="1320"/>
    </w:pPr>
  </w:style>
  <w:style w:type="paragraph" w:styleId="899">
    <w:name w:val="toc 8"/>
    <w:basedOn w:val="904"/>
    <w:next w:val="904"/>
    <w:uiPriority w:val="39"/>
    <w:unhideWhenUsed/>
    <w:pPr>
      <w:pBdr/>
      <w:spacing w:after="100"/>
      <w:ind w:left="1540"/>
    </w:pPr>
  </w:style>
  <w:style w:type="paragraph" w:styleId="900">
    <w:name w:val="toc 9"/>
    <w:basedOn w:val="904"/>
    <w:next w:val="904"/>
    <w:uiPriority w:val="39"/>
    <w:unhideWhenUsed/>
    <w:pPr>
      <w:pBdr/>
      <w:spacing w:after="100"/>
      <w:ind w:left="1760"/>
    </w:pPr>
  </w:style>
  <w:style w:type="character" w:styleId="901">
    <w:name w:val="Placeholder Text"/>
    <w:basedOn w:val="905"/>
    <w:uiPriority w:val="99"/>
    <w:semiHidden/>
    <w:pPr>
      <w:pBdr/>
      <w:spacing/>
      <w:ind/>
    </w:pPr>
    <w:rPr>
      <w:color w:val="666666"/>
    </w:rPr>
  </w:style>
  <w:style w:type="paragraph" w:styleId="902">
    <w:name w:val="TOC Heading"/>
    <w:uiPriority w:val="39"/>
    <w:unhideWhenUsed/>
    <w:pPr>
      <w:pBdr/>
      <w:spacing/>
      <w:ind/>
    </w:pPr>
  </w:style>
  <w:style w:type="paragraph" w:styleId="903">
    <w:name w:val="table of figures"/>
    <w:basedOn w:val="904"/>
    <w:next w:val="904"/>
    <w:uiPriority w:val="99"/>
    <w:unhideWhenUsed/>
    <w:pPr>
      <w:pBdr/>
      <w:spacing w:after="0" w:afterAutospacing="0"/>
      <w:ind/>
    </w:pPr>
  </w:style>
  <w:style w:type="paragraph" w:styleId="904" w:default="1">
    <w:name w:val="Normal"/>
    <w:qFormat/>
    <w:pPr>
      <w:pBdr/>
      <w:spacing w:after="160" w:line="259" w:lineRule="auto"/>
      <w:ind/>
    </w:pPr>
    <w:rPr>
      <w:lang w:eastAsia="en-US"/>
    </w:rPr>
  </w:style>
  <w:style w:type="character" w:styleId="905" w:default="1">
    <w:name w:val="Default Paragraph Font"/>
    <w:uiPriority w:val="99"/>
    <w:semiHidden/>
    <w:pPr>
      <w:pBdr/>
      <w:spacing/>
      <w:ind/>
    </w:pPr>
  </w:style>
  <w:style w:type="table" w:styleId="906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7" w:default="1">
    <w:name w:val="No List"/>
    <w:uiPriority w:val="99"/>
    <w:semiHidden/>
    <w:unhideWhenUsed/>
    <w:pPr>
      <w:pBdr/>
      <w:spacing/>
      <w:ind/>
    </w:pPr>
  </w:style>
  <w:style w:type="paragraph" w:styleId="908">
    <w:name w:val="List Paragraph"/>
    <w:basedOn w:val="904"/>
    <w:uiPriority w:val="99"/>
    <w:qFormat/>
    <w:pPr>
      <w:pBdr/>
      <w:spacing/>
      <w:ind w:left="720"/>
      <w:contextualSpacing w:val="true"/>
    </w:pPr>
  </w:style>
  <w:style w:type="paragraph" w:styleId="909">
    <w:name w:val="Balloon Text"/>
    <w:basedOn w:val="904"/>
    <w:link w:val="910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10" w:customStyle="1">
    <w:name w:val="Balloon Text Char"/>
    <w:basedOn w:val="905"/>
    <w:link w:val="909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1" w:customStyle="1">
    <w:name w:val="Знак"/>
    <w:basedOn w:val="904"/>
    <w:uiPriority w:val="99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/>
    </w:rPr>
  </w:style>
  <w:style w:type="paragraph" w:styleId="912">
    <w:name w:val="Normal (Web)"/>
    <w:basedOn w:val="904"/>
    <w:link w:val="913"/>
    <w:uiPriority w:val="99"/>
    <w:pPr>
      <w:pBdr/>
      <w:spacing w:after="100" w:afterAutospacing="1" w:before="100" w:beforeAutospacing="1" w:line="240" w:lineRule="auto"/>
      <w:ind/>
    </w:pPr>
    <w:rPr>
      <w:sz w:val="24"/>
      <w:szCs w:val="20"/>
      <w:lang w:val="uk-UA" w:eastAsia="uk-UA"/>
    </w:rPr>
  </w:style>
  <w:style w:type="character" w:styleId="913" w:customStyle="1">
    <w:name w:val="Normal (Web) Char"/>
    <w:link w:val="912"/>
    <w:uiPriority w:val="99"/>
    <w:pPr>
      <w:pBdr/>
      <w:spacing/>
      <w:ind/>
    </w:pPr>
    <w:rPr>
      <w:sz w:val="24"/>
      <w:lang w:val="uk-UA" w:eastAsia="uk-UA"/>
    </w:rPr>
  </w:style>
  <w:style w:type="paragraph" w:styleId="914">
    <w:name w:val="Body Text"/>
    <w:basedOn w:val="904"/>
    <w:link w:val="915"/>
    <w:uiPriority w:val="99"/>
    <w:pPr>
      <w:pBdr/>
      <w:spacing w:after="140" w:line="288" w:lineRule="auto"/>
      <w:ind/>
    </w:pPr>
    <w:rPr>
      <w:rFonts w:ascii="Liberation Serif" w:hAnsi="Liberation Serif" w:eastAsia="SimSun" w:cs="Arial"/>
      <w:sz w:val="24"/>
      <w:szCs w:val="24"/>
      <w:lang w:val="uk-UA" w:eastAsia="zh-CN" w:bidi="hi-IN"/>
    </w:rPr>
  </w:style>
  <w:style w:type="character" w:styleId="915" w:customStyle="1">
    <w:name w:val="Body Text Char"/>
    <w:basedOn w:val="905"/>
    <w:link w:val="914"/>
    <w:uiPriority w:val="99"/>
    <w:semiHidden/>
    <w:pPr>
      <w:pBdr/>
      <w:spacing/>
      <w:ind/>
    </w:pPr>
    <w:rPr>
      <w:rFonts w:cs="Times New Roman"/>
      <w:lang w:eastAsia="en-US"/>
    </w:rPr>
  </w:style>
  <w:style w:type="paragraph" w:styleId="916">
    <w:name w:val="No Spacing"/>
    <w:link w:val="917"/>
    <w:uiPriority w:val="99"/>
    <w:qFormat/>
    <w:pPr>
      <w:pBdr/>
      <w:spacing/>
      <w:ind/>
    </w:pPr>
    <w:rPr>
      <w:lang w:eastAsia="en-US"/>
    </w:rPr>
  </w:style>
  <w:style w:type="character" w:styleId="917" w:customStyle="1">
    <w:name w:val="No Spacing Char"/>
    <w:link w:val="916"/>
    <w:uiPriority w:val="99"/>
    <w:pPr>
      <w:pBdr/>
      <w:spacing/>
      <w:ind/>
    </w:pPr>
    <w:rPr>
      <w:sz w:val="22"/>
      <w:lang w:val="ru-RU" w:eastAsia="en-US"/>
    </w:rPr>
  </w:style>
  <w:style w:type="character" w:styleId="918">
    <w:name w:val="Strong"/>
    <w:basedOn w:val="905"/>
    <w:uiPriority w:val="99"/>
    <w:qFormat/>
    <w:pPr>
      <w:pBdr/>
      <w:spacing/>
      <w:ind/>
    </w:pPr>
    <w:rPr>
      <w:rFonts w:cs="Times New Roman"/>
      <w:b/>
      <w:bCs/>
    </w:rPr>
  </w:style>
  <w:style w:type="paragraph" w:styleId="919" w:customStyle="1">
    <w:name w:val="Обычный (веб)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revision>9</cp:revision>
  <dcterms:created xsi:type="dcterms:W3CDTF">2025-01-06T07:49:00Z</dcterms:created>
  <dcterms:modified xsi:type="dcterms:W3CDTF">2026-01-15T09:13:21Z</dcterms:modified>
</cp:coreProperties>
</file>